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</w:t>
      </w:r>
      <w:r w:rsidR="0048752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="0048752B">
        <w:rPr>
          <w:b/>
          <w:sz w:val="28"/>
          <w:szCs w:val="28"/>
        </w:rPr>
        <w:t>2</w:t>
      </w:r>
      <w:r w:rsidRPr="00AE5E27">
        <w:rPr>
          <w:b/>
          <w:sz w:val="28"/>
          <w:szCs w:val="28"/>
        </w:rPr>
        <w:t xml:space="preserve"> </w:t>
      </w:r>
      <w:r w:rsidR="00803214">
        <w:rPr>
          <w:b/>
          <w:sz w:val="28"/>
          <w:szCs w:val="28"/>
        </w:rPr>
        <w:t>квартале 2025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7D3E">
        <w:rPr>
          <w:sz w:val="28"/>
          <w:szCs w:val="28"/>
          <w:lang w:val="en-US"/>
        </w:rPr>
        <w:t>I</w:t>
      </w:r>
      <w:r w:rsidR="0048752B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803214">
        <w:rPr>
          <w:sz w:val="28"/>
          <w:szCs w:val="28"/>
        </w:rPr>
        <w:t>квартале 2025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4B5E38">
        <w:rPr>
          <w:sz w:val="28"/>
          <w:szCs w:val="28"/>
        </w:rPr>
        <w:t xml:space="preserve"> составило 5</w:t>
      </w:r>
      <w:r w:rsidR="008A2B84">
        <w:rPr>
          <w:sz w:val="28"/>
          <w:szCs w:val="28"/>
        </w:rPr>
        <w:t xml:space="preserve">, </w:t>
      </w:r>
      <w:r w:rsidR="00DE173B">
        <w:rPr>
          <w:sz w:val="28"/>
          <w:szCs w:val="28"/>
        </w:rPr>
        <w:t xml:space="preserve">что на </w:t>
      </w:r>
      <w:r w:rsidR="004B5E38">
        <w:rPr>
          <w:sz w:val="28"/>
          <w:szCs w:val="28"/>
        </w:rPr>
        <w:t>1</w:t>
      </w:r>
      <w:r w:rsidR="0048752B">
        <w:rPr>
          <w:sz w:val="28"/>
          <w:szCs w:val="28"/>
        </w:rPr>
        <w:t xml:space="preserve"> обращения меньше</w:t>
      </w:r>
      <w:r w:rsidR="00DE173B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</w:t>
      </w:r>
      <w:r w:rsidR="0048752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8752B">
        <w:rPr>
          <w:sz w:val="28"/>
          <w:szCs w:val="28"/>
          <w:lang w:val="en-US"/>
        </w:rPr>
        <w:t>II</w:t>
      </w:r>
      <w:r w:rsidRPr="00AE5E27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кварталом  2024</w:t>
      </w:r>
      <w:r w:rsidR="0048752B">
        <w:rPr>
          <w:sz w:val="28"/>
          <w:szCs w:val="28"/>
        </w:rPr>
        <w:t xml:space="preserve"> годом (6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48752B">
        <w:rPr>
          <w:sz w:val="28"/>
          <w:szCs w:val="28"/>
        </w:rPr>
        <w:t>о</w:t>
      </w:r>
      <w:r w:rsidR="00C760BE">
        <w:rPr>
          <w:sz w:val="28"/>
          <w:szCs w:val="28"/>
        </w:rPr>
        <w:t xml:space="preserve"> </w:t>
      </w:r>
      <w:r w:rsidR="0048752B">
        <w:rPr>
          <w:sz w:val="28"/>
          <w:szCs w:val="28"/>
          <w:lang w:val="en-US"/>
        </w:rPr>
        <w:t>II</w:t>
      </w:r>
      <w:r w:rsidRPr="00AE5E27">
        <w:rPr>
          <w:sz w:val="28"/>
          <w:szCs w:val="28"/>
        </w:rPr>
        <w:t xml:space="preserve"> </w:t>
      </w:r>
      <w:r w:rsidR="00803214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0909F6" w:rsidRDefault="00C760BE" w:rsidP="00C760BE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</w:p>
    <w:p w:rsidR="001F2EC8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0909F6">
        <w:rPr>
          <w:sz w:val="28"/>
          <w:szCs w:val="28"/>
        </w:rPr>
        <w:t xml:space="preserve">- </w:t>
      </w:r>
      <w:r w:rsidRPr="000909F6">
        <w:rPr>
          <w:bCs/>
          <w:sz w:val="28"/>
          <w:szCs w:val="28"/>
        </w:rPr>
        <w:t xml:space="preserve">экономика </w:t>
      </w:r>
      <w:r w:rsidR="004B5E38">
        <w:rPr>
          <w:sz w:val="28"/>
          <w:szCs w:val="28"/>
        </w:rPr>
        <w:t>–   98</w:t>
      </w:r>
      <w:r w:rsidRPr="000909F6">
        <w:rPr>
          <w:sz w:val="28"/>
          <w:szCs w:val="28"/>
        </w:rPr>
        <w:t xml:space="preserve"> % обращений,</w:t>
      </w:r>
      <w:r w:rsidR="006A4BD6" w:rsidRPr="000909F6">
        <w:rPr>
          <w:sz w:val="28"/>
          <w:szCs w:val="28"/>
        </w:rPr>
        <w:t xml:space="preserve"> </w:t>
      </w:r>
      <w:r w:rsidR="00C75861" w:rsidRPr="000909F6">
        <w:rPr>
          <w:sz w:val="28"/>
          <w:szCs w:val="28"/>
        </w:rPr>
        <w:t>(</w:t>
      </w:r>
      <w:r w:rsidR="004B5E38">
        <w:rPr>
          <w:sz w:val="28"/>
          <w:szCs w:val="28"/>
        </w:rPr>
        <w:t>4</w:t>
      </w:r>
      <w:r w:rsidR="00C75861" w:rsidRPr="000909F6">
        <w:rPr>
          <w:sz w:val="28"/>
          <w:szCs w:val="28"/>
        </w:rPr>
        <w:t>)</w:t>
      </w:r>
      <w:r w:rsidR="006A4BD6" w:rsidRPr="000909F6">
        <w:rPr>
          <w:sz w:val="28"/>
          <w:szCs w:val="28"/>
        </w:rPr>
        <w:t>.</w:t>
      </w:r>
    </w:p>
    <w:p w:rsidR="004B5E38" w:rsidRPr="00A12061" w:rsidRDefault="004B5E38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соц. сфера -  2% обращений, (1).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752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8752B">
        <w:rPr>
          <w:sz w:val="28"/>
          <w:szCs w:val="28"/>
          <w:lang w:val="en-US"/>
        </w:rPr>
        <w:t>II</w:t>
      </w:r>
      <w:r w:rsidRPr="00AE5E27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0909F6">
        <w:rPr>
          <w:sz w:val="28"/>
          <w:szCs w:val="28"/>
        </w:rPr>
        <w:t xml:space="preserve"> 0 обращений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48752B">
        <w:rPr>
          <w:sz w:val="28"/>
          <w:szCs w:val="28"/>
        </w:rPr>
        <w:t>о</w:t>
      </w:r>
      <w:r w:rsidR="00EE7D3E">
        <w:rPr>
          <w:sz w:val="28"/>
          <w:szCs w:val="28"/>
        </w:rPr>
        <w:t xml:space="preserve"> </w:t>
      </w:r>
      <w:r w:rsidR="0048752B">
        <w:rPr>
          <w:sz w:val="28"/>
          <w:szCs w:val="28"/>
          <w:lang w:val="en-US"/>
        </w:rPr>
        <w:t>II</w:t>
      </w:r>
      <w:r w:rsidR="0031395B">
        <w:rPr>
          <w:sz w:val="28"/>
          <w:szCs w:val="28"/>
        </w:rPr>
        <w:t xml:space="preserve"> квартале 2025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0909F6">
        <w:rPr>
          <w:sz w:val="28"/>
          <w:szCs w:val="28"/>
        </w:rPr>
        <w:t xml:space="preserve">  </w:t>
      </w:r>
      <w:proofErr w:type="spellStart"/>
      <w:r w:rsidR="0031395B">
        <w:rPr>
          <w:sz w:val="28"/>
          <w:szCs w:val="28"/>
        </w:rPr>
        <w:t>с</w:t>
      </w:r>
      <w:proofErr w:type="gramStart"/>
      <w:r w:rsidR="0031395B">
        <w:rPr>
          <w:sz w:val="28"/>
          <w:szCs w:val="28"/>
        </w:rPr>
        <w:t>.Л</w:t>
      </w:r>
      <w:proofErr w:type="gramEnd"/>
      <w:r w:rsidR="004B5E38">
        <w:rPr>
          <w:sz w:val="28"/>
          <w:szCs w:val="28"/>
        </w:rPr>
        <w:t>ебединка</w:t>
      </w:r>
      <w:proofErr w:type="spellEnd"/>
      <w:r w:rsidR="004B5E38">
        <w:rPr>
          <w:sz w:val="28"/>
          <w:szCs w:val="28"/>
        </w:rPr>
        <w:t xml:space="preserve">  (4</w:t>
      </w:r>
      <w:r w:rsidR="0054788A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о</w:t>
      </w:r>
      <w:r w:rsidRPr="004D63BA">
        <w:rPr>
          <w:sz w:val="28"/>
          <w:szCs w:val="28"/>
        </w:rPr>
        <w:t xml:space="preserve">т жителей </w:t>
      </w:r>
      <w:r>
        <w:rPr>
          <w:sz w:val="28"/>
          <w:szCs w:val="28"/>
        </w:rPr>
        <w:t xml:space="preserve">      </w:t>
      </w:r>
      <w:r w:rsidR="00513EDF">
        <w:rPr>
          <w:sz w:val="28"/>
          <w:szCs w:val="28"/>
        </w:rPr>
        <w:t xml:space="preserve">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48752B">
        <w:rPr>
          <w:sz w:val="28"/>
          <w:szCs w:val="28"/>
        </w:rPr>
        <w:t xml:space="preserve"> (0</w:t>
      </w:r>
      <w:r w:rsidR="000909F6">
        <w:rPr>
          <w:sz w:val="28"/>
          <w:szCs w:val="28"/>
        </w:rPr>
        <w:t>).</w:t>
      </w:r>
      <w:r w:rsidR="000909F6" w:rsidRPr="000909F6">
        <w:rPr>
          <w:sz w:val="28"/>
          <w:szCs w:val="28"/>
        </w:rPr>
        <w:t xml:space="preserve"> </w:t>
      </w:r>
      <w:r w:rsidR="000909F6" w:rsidRPr="004D63BA">
        <w:rPr>
          <w:sz w:val="28"/>
          <w:szCs w:val="28"/>
        </w:rPr>
        <w:t xml:space="preserve">От жителей </w:t>
      </w:r>
      <w:r w:rsidR="000909F6">
        <w:rPr>
          <w:sz w:val="28"/>
          <w:szCs w:val="28"/>
        </w:rPr>
        <w:t xml:space="preserve">  х. </w:t>
      </w:r>
      <w:proofErr w:type="spellStart"/>
      <w:r w:rsidR="000909F6">
        <w:rPr>
          <w:sz w:val="28"/>
          <w:szCs w:val="28"/>
        </w:rPr>
        <w:t>Батовка</w:t>
      </w:r>
      <w:proofErr w:type="spellEnd"/>
      <w:r w:rsidR="000909F6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 xml:space="preserve"> с. </w:t>
      </w:r>
      <w:proofErr w:type="spellStart"/>
      <w:r w:rsidR="0031395B">
        <w:rPr>
          <w:sz w:val="28"/>
          <w:szCs w:val="28"/>
        </w:rPr>
        <w:t>Новоникольск</w:t>
      </w:r>
      <w:proofErr w:type="spellEnd"/>
      <w:r w:rsidR="0031395B">
        <w:rPr>
          <w:sz w:val="28"/>
          <w:szCs w:val="28"/>
        </w:rPr>
        <w:t xml:space="preserve"> </w:t>
      </w:r>
      <w:r w:rsidR="008920C4">
        <w:rPr>
          <w:sz w:val="28"/>
          <w:szCs w:val="28"/>
        </w:rPr>
        <w:t>(1)</w:t>
      </w:r>
      <w:r w:rsidR="0031395B">
        <w:rPr>
          <w:sz w:val="28"/>
          <w:szCs w:val="28"/>
        </w:rPr>
        <w:t xml:space="preserve">   в</w:t>
      </w:r>
      <w:r w:rsidR="0048752B">
        <w:rPr>
          <w:sz w:val="28"/>
          <w:szCs w:val="28"/>
        </w:rPr>
        <w:t>о втор</w:t>
      </w:r>
      <w:r w:rsidR="0031395B">
        <w:rPr>
          <w:sz w:val="28"/>
          <w:szCs w:val="28"/>
        </w:rPr>
        <w:t>ом  квартале 2025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освещение</w:t>
      </w:r>
    </w:p>
    <w:p w:rsidR="0031395B" w:rsidRDefault="0031395B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беспривязное содержание </w:t>
      </w:r>
      <w:r w:rsidR="0048752B">
        <w:rPr>
          <w:sz w:val="28"/>
          <w:szCs w:val="28"/>
        </w:rPr>
        <w:t>животных</w:t>
      </w:r>
    </w:p>
    <w:p w:rsidR="004B5E38" w:rsidRPr="004D63BA" w:rsidRDefault="004B5E38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дороги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</w:t>
      </w:r>
      <w:r w:rsidR="000909F6">
        <w:rPr>
          <w:sz w:val="28"/>
          <w:szCs w:val="28"/>
        </w:rPr>
        <w:t>устны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 xml:space="preserve">ы </w:t>
      </w:r>
      <w:proofErr w:type="gramStart"/>
      <w:r w:rsidR="0016652D">
        <w:rPr>
          <w:sz w:val="28"/>
          <w:szCs w:val="28"/>
        </w:rPr>
        <w:t>обращений</w:t>
      </w:r>
      <w:proofErr w:type="gramEnd"/>
      <w:r w:rsidR="007B14F5">
        <w:rPr>
          <w:sz w:val="28"/>
          <w:szCs w:val="28"/>
        </w:rPr>
        <w:t xml:space="preserve">   работающие граждане</w:t>
      </w:r>
      <w:r w:rsidR="00EE7D3E">
        <w:rPr>
          <w:sz w:val="28"/>
          <w:szCs w:val="28"/>
        </w:rPr>
        <w:t>, 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СТАТИСТИЧЕСКИЕ  ДАННЫЕ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о работе с  обраще</w:t>
      </w:r>
      <w:r w:rsidR="004B5E38">
        <w:rPr>
          <w:b/>
        </w:rPr>
        <w:t>ниями граждан во 2</w:t>
      </w:r>
      <w:r w:rsidR="0031395B">
        <w:rPr>
          <w:b/>
        </w:rPr>
        <w:t xml:space="preserve"> квартале  2025</w:t>
      </w:r>
      <w:r>
        <w:rPr>
          <w:b/>
        </w:rPr>
        <w:t xml:space="preserve"> года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E50F8E" w:rsidRDefault="00E50F8E" w:rsidP="00E50F8E">
      <w:pPr>
        <w:ind w:right="-6"/>
        <w:jc w:val="center"/>
        <w:rPr>
          <w:b/>
        </w:rPr>
      </w:pPr>
      <w:r>
        <w:rPr>
          <w:b/>
        </w:rPr>
        <w:t>Воронежской области</w:t>
      </w: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4E13FA">
              <w:rPr>
                <w:sz w:val="24"/>
                <w:szCs w:val="24"/>
              </w:rPr>
              <w:t xml:space="preserve">        </w:t>
            </w:r>
            <w:r w:rsidRPr="000B2E69">
              <w:rPr>
                <w:szCs w:val="28"/>
              </w:rPr>
              <w:t xml:space="preserve">  </w:t>
            </w:r>
            <w:r w:rsidRPr="00E41E53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4B5E38" w:rsidP="007C79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0F8E" w:rsidRPr="00E41E53" w:rsidTr="007C7988">
        <w:trPr>
          <w:trHeight w:val="33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Из них:</w:t>
            </w: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0F8E" w:rsidRPr="00E41E53" w:rsidTr="007C7988">
        <w:trPr>
          <w:trHeight w:val="27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в том числе: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</w:p>
        </w:tc>
      </w:tr>
      <w:tr w:rsidR="00E50F8E" w:rsidRPr="00E41E53" w:rsidTr="007C7988">
        <w:trPr>
          <w:trHeight w:val="199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1.1.1. Взято на контроль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1.1.2. Проверено </w:t>
            </w:r>
            <w:proofErr w:type="spellStart"/>
            <w:r w:rsidRPr="00E41E53">
              <w:t>комиссионно</w:t>
            </w:r>
            <w:proofErr w:type="spellEnd"/>
            <w:r w:rsidRPr="00E41E53">
              <w:t xml:space="preserve">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20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 w:rsidRPr="00E41E53"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17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 w:rsidRPr="00E41E53">
              <w:t>1.1.4. Рассмотрено с участием заявителя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71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605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1.1.6. С результатом рассмотрения «поддержано», в том числе </w:t>
            </w:r>
          </w:p>
          <w:p w:rsidR="00E50F8E" w:rsidRPr="00E41E53" w:rsidRDefault="00E50F8E" w:rsidP="007C7988">
            <w:pPr>
              <w:ind w:firstLine="652"/>
            </w:pPr>
            <w:r w:rsidRPr="00E41E53">
              <w:t>«меры приняты» -</w:t>
            </w:r>
          </w:p>
        </w:tc>
        <w:tc>
          <w:tcPr>
            <w:tcW w:w="1417" w:type="dxa"/>
          </w:tcPr>
          <w:p w:rsidR="00E50F8E" w:rsidRPr="004C3ADA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E50F8E" w:rsidRPr="004C3ADA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1.1.9. С результатом рассмотрения «дан ответ автору»</w:t>
            </w:r>
          </w:p>
        </w:tc>
        <w:tc>
          <w:tcPr>
            <w:tcW w:w="1417" w:type="dxa"/>
          </w:tcPr>
          <w:p w:rsidR="00E50F8E" w:rsidRPr="00E97D3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1.1.10</w:t>
            </w:r>
            <w:r w:rsidRPr="00E41E53">
              <w:t xml:space="preserve">. </w:t>
            </w:r>
            <w:proofErr w:type="gramStart"/>
            <w:r w:rsidRPr="00E41E53">
              <w:t>Переадресованных</w:t>
            </w:r>
            <w:proofErr w:type="gramEnd"/>
            <w:r w:rsidRPr="00E41E53">
              <w:t xml:space="preserve"> по компетенции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 w:right="-108"/>
            </w:pPr>
            <w:r>
              <w:t>1.1.11</w:t>
            </w:r>
            <w:r w:rsidRPr="00E41E53">
              <w:t xml:space="preserve">. </w:t>
            </w:r>
            <w:proofErr w:type="gramStart"/>
            <w:r w:rsidRPr="00E41E53">
              <w:t>Рассмотренных</w:t>
            </w:r>
            <w:proofErr w:type="gramEnd"/>
            <w:r w:rsidRPr="00E41E53"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>
              <w:t xml:space="preserve">  1.1.12</w:t>
            </w:r>
            <w:r w:rsidRPr="00E41E53">
              <w:t xml:space="preserve">. Рассмотрено с нарушением установленных сроков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>
              <w:t>1.1.13</w:t>
            </w:r>
            <w:r w:rsidRPr="00E41E53">
              <w:t xml:space="preserve">. Срок рассмотрения продлен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1.1.14</w:t>
            </w:r>
            <w:r w:rsidRPr="00E41E53">
              <w:t xml:space="preserve">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1.1.15</w:t>
            </w:r>
            <w:r w:rsidRPr="00E41E53">
              <w:t xml:space="preserve">. Ответ подписан уполномоченным лицом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1.1.16</w:t>
            </w:r>
            <w:r w:rsidRPr="00E41E53">
              <w:t>. По информации заявител</w:t>
            </w:r>
            <w:proofErr w:type="gramStart"/>
            <w:r w:rsidRPr="00E41E53">
              <w:t>я(</w:t>
            </w:r>
            <w:proofErr w:type="gramEnd"/>
            <w:r w:rsidRPr="00E41E53">
              <w:t xml:space="preserve">ей) об итогах рассмотрения обращения </w:t>
            </w:r>
            <w:r w:rsidRPr="00E41E53">
              <w:lastRenderedPageBreak/>
              <w:t xml:space="preserve">ответ не получен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lastRenderedPageBreak/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:rsidR="00E50F8E" w:rsidRPr="00E41E53" w:rsidRDefault="004B5E38" w:rsidP="007C79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720"/>
            </w:pPr>
            <w:r w:rsidRPr="00E41E53">
              <w:t xml:space="preserve">1.2.1. Взято на контроль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09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517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1.2.3. С результатом рассмотрения «поддержано», в том числе </w:t>
            </w:r>
          </w:p>
          <w:p w:rsidR="00E50F8E" w:rsidRPr="00E41E53" w:rsidRDefault="00E50F8E" w:rsidP="007C7988">
            <w:r w:rsidRPr="00E41E53">
              <w:t>«меры приняты» -</w:t>
            </w:r>
          </w:p>
        </w:tc>
        <w:tc>
          <w:tcPr>
            <w:tcW w:w="1417" w:type="dxa"/>
          </w:tcPr>
          <w:p w:rsidR="00E50F8E" w:rsidRPr="00365F24" w:rsidRDefault="004B5E38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left="612"/>
            </w:pPr>
            <w:r w:rsidRPr="00E41E53"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50F8E" w:rsidRPr="00E41E53" w:rsidRDefault="00E50F8E" w:rsidP="007C7988">
            <w:pPr>
              <w:jc w:val="center"/>
              <w:rPr>
                <w:b/>
              </w:rPr>
            </w:pP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1.6. Формы ответа заявителю: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1.6.1. В письменной форме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1.6.3. В устной форме -</w:t>
            </w:r>
          </w:p>
        </w:tc>
        <w:tc>
          <w:tcPr>
            <w:tcW w:w="1417" w:type="dxa"/>
          </w:tcPr>
          <w:p w:rsidR="00E50F8E" w:rsidRPr="00365F24" w:rsidRDefault="004B5E38" w:rsidP="007C79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 w:rsidRPr="00E41E53">
              <w:t>0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 w:rsidRPr="00E41E53">
              <w:rPr>
                <w:b/>
              </w:rPr>
              <w:t xml:space="preserve">прилагается </w:t>
            </w:r>
          </w:p>
        </w:tc>
      </w:tr>
    </w:tbl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sectPr w:rsidR="00E50F8E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909F6"/>
    <w:rsid w:val="000B4823"/>
    <w:rsid w:val="000F03FA"/>
    <w:rsid w:val="001301F7"/>
    <w:rsid w:val="0016403B"/>
    <w:rsid w:val="0016652D"/>
    <w:rsid w:val="001B4C4B"/>
    <w:rsid w:val="001E4200"/>
    <w:rsid w:val="001F2EC8"/>
    <w:rsid w:val="001F7DB7"/>
    <w:rsid w:val="00217557"/>
    <w:rsid w:val="002F2335"/>
    <w:rsid w:val="002F26EA"/>
    <w:rsid w:val="003076B1"/>
    <w:rsid w:val="0031395B"/>
    <w:rsid w:val="003B2E87"/>
    <w:rsid w:val="00420249"/>
    <w:rsid w:val="00427718"/>
    <w:rsid w:val="0048752B"/>
    <w:rsid w:val="004B5E38"/>
    <w:rsid w:val="00513EDF"/>
    <w:rsid w:val="0054788A"/>
    <w:rsid w:val="005744E9"/>
    <w:rsid w:val="0057777F"/>
    <w:rsid w:val="005875B6"/>
    <w:rsid w:val="00590589"/>
    <w:rsid w:val="005D6ABA"/>
    <w:rsid w:val="0067568B"/>
    <w:rsid w:val="00693625"/>
    <w:rsid w:val="006A4BD6"/>
    <w:rsid w:val="006E45BB"/>
    <w:rsid w:val="007B14F5"/>
    <w:rsid w:val="00803214"/>
    <w:rsid w:val="008920C4"/>
    <w:rsid w:val="008A2B84"/>
    <w:rsid w:val="008E1DFD"/>
    <w:rsid w:val="008F61C1"/>
    <w:rsid w:val="00917C94"/>
    <w:rsid w:val="00950869"/>
    <w:rsid w:val="009C7E63"/>
    <w:rsid w:val="00A92448"/>
    <w:rsid w:val="00AA0B96"/>
    <w:rsid w:val="00AE5E27"/>
    <w:rsid w:val="00BD3887"/>
    <w:rsid w:val="00C641E3"/>
    <w:rsid w:val="00C75861"/>
    <w:rsid w:val="00C760BE"/>
    <w:rsid w:val="00CD5D48"/>
    <w:rsid w:val="00CE5A6B"/>
    <w:rsid w:val="00D140E1"/>
    <w:rsid w:val="00D654B0"/>
    <w:rsid w:val="00D96FFA"/>
    <w:rsid w:val="00DB3720"/>
    <w:rsid w:val="00DE173B"/>
    <w:rsid w:val="00DF52E0"/>
    <w:rsid w:val="00E50F8E"/>
    <w:rsid w:val="00E718EE"/>
    <w:rsid w:val="00EC772F"/>
    <w:rsid w:val="00EE13C8"/>
    <w:rsid w:val="00EE7D3E"/>
    <w:rsid w:val="00EF3B95"/>
    <w:rsid w:val="00EF7D3C"/>
    <w:rsid w:val="00F221A3"/>
    <w:rsid w:val="00F96FB1"/>
    <w:rsid w:val="00FA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45</cp:revision>
  <dcterms:created xsi:type="dcterms:W3CDTF">2017-03-22T10:07:00Z</dcterms:created>
  <dcterms:modified xsi:type="dcterms:W3CDTF">2025-06-23T11:01:00Z</dcterms:modified>
</cp:coreProperties>
</file>