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C9" w:rsidRDefault="006F5BC9" w:rsidP="006F5BC9">
      <w:pPr>
        <w:jc w:val="center"/>
        <w:rPr>
          <w:sz w:val="28"/>
          <w:szCs w:val="28"/>
        </w:rPr>
      </w:pPr>
      <w:r>
        <w:rPr>
          <w:noProof/>
          <w:sz w:val="28"/>
          <w:szCs w:val="28"/>
        </w:rPr>
        <w:drawing>
          <wp:inline distT="0" distB="0" distL="0" distR="0">
            <wp:extent cx="762000" cy="89535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6F5BC9" w:rsidRPr="007F39C1" w:rsidRDefault="006F5BC9" w:rsidP="006F5BC9">
      <w:pPr>
        <w:pStyle w:val="a4"/>
        <w:jc w:val="center"/>
        <w:rPr>
          <w:color w:val="000000"/>
        </w:rPr>
      </w:pPr>
    </w:p>
    <w:p w:rsidR="006F5BC9" w:rsidRPr="007F39C1" w:rsidRDefault="006F5BC9" w:rsidP="006F5BC9">
      <w:pPr>
        <w:pStyle w:val="a4"/>
        <w:jc w:val="center"/>
        <w:rPr>
          <w:b/>
          <w:color w:val="000000"/>
          <w:kern w:val="36"/>
        </w:rPr>
      </w:pPr>
      <w:r w:rsidRPr="007F39C1">
        <w:rPr>
          <w:b/>
          <w:color w:val="000000"/>
          <w:kern w:val="36"/>
        </w:rPr>
        <w:t>СОВЕТ НАРОДНЫХ ДЕПУТАТОВ</w:t>
      </w:r>
    </w:p>
    <w:p w:rsidR="006F5BC9" w:rsidRPr="007F39C1" w:rsidRDefault="006F5BC9" w:rsidP="006F5BC9">
      <w:pPr>
        <w:pStyle w:val="a4"/>
        <w:jc w:val="center"/>
        <w:rPr>
          <w:b/>
          <w:color w:val="000000"/>
          <w:kern w:val="36"/>
        </w:rPr>
      </w:pPr>
      <w:r>
        <w:rPr>
          <w:b/>
          <w:iCs/>
          <w:color w:val="000000"/>
          <w:kern w:val="36"/>
        </w:rPr>
        <w:t>ПЕРВОМАЙСКОГО</w:t>
      </w:r>
      <w:r w:rsidRPr="007F39C1">
        <w:rPr>
          <w:b/>
          <w:iCs/>
          <w:color w:val="000000"/>
          <w:kern w:val="36"/>
        </w:rPr>
        <w:t xml:space="preserve"> СЕЛЬСКОГО ПОСЕЛЕНИЯ</w:t>
      </w:r>
    </w:p>
    <w:p w:rsidR="006F5BC9" w:rsidRPr="007F39C1" w:rsidRDefault="006F5BC9" w:rsidP="006F5BC9">
      <w:pPr>
        <w:pStyle w:val="a4"/>
        <w:jc w:val="center"/>
        <w:rPr>
          <w:b/>
          <w:color w:val="000000"/>
          <w:kern w:val="36"/>
        </w:rPr>
      </w:pPr>
      <w:r w:rsidRPr="007F39C1">
        <w:rPr>
          <w:b/>
          <w:iCs/>
          <w:color w:val="000000"/>
          <w:kern w:val="36"/>
        </w:rPr>
        <w:t>БОГУЧАРСКОГО МУНИЦИПАЛЬНОГО РАЙОНА</w:t>
      </w:r>
    </w:p>
    <w:p w:rsidR="006F5BC9" w:rsidRPr="007F39C1" w:rsidRDefault="006F5BC9" w:rsidP="006F5BC9">
      <w:pPr>
        <w:pStyle w:val="a4"/>
        <w:jc w:val="center"/>
        <w:rPr>
          <w:b/>
          <w:color w:val="000000"/>
        </w:rPr>
      </w:pPr>
      <w:r w:rsidRPr="007F39C1">
        <w:rPr>
          <w:b/>
          <w:color w:val="000000"/>
        </w:rPr>
        <w:t>ВОРОНЕЖСКОЙ ОБЛАСТИ</w:t>
      </w:r>
    </w:p>
    <w:p w:rsidR="006F5BC9" w:rsidRPr="00B868F4" w:rsidRDefault="006F5BC9" w:rsidP="006F5BC9">
      <w:pPr>
        <w:pStyle w:val="ConsPlusTitle"/>
        <w:jc w:val="center"/>
        <w:rPr>
          <w:rFonts w:ascii="Times New Roman" w:hAnsi="Times New Roman" w:cs="Times New Roman"/>
          <w:sz w:val="28"/>
          <w:szCs w:val="28"/>
          <w:vertAlign w:val="subscript"/>
        </w:rPr>
      </w:pPr>
    </w:p>
    <w:p w:rsidR="006F5BC9" w:rsidRPr="00B868F4" w:rsidRDefault="006F5BC9" w:rsidP="006F5BC9">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6F5BC9" w:rsidRPr="00B868F4" w:rsidRDefault="006F5BC9" w:rsidP="006F5BC9">
      <w:pPr>
        <w:pStyle w:val="ConsPlusTitle"/>
        <w:jc w:val="center"/>
        <w:rPr>
          <w:rFonts w:ascii="Times New Roman" w:hAnsi="Times New Roman" w:cs="Times New Roman"/>
          <w:sz w:val="28"/>
          <w:szCs w:val="28"/>
        </w:rPr>
      </w:pPr>
    </w:p>
    <w:p w:rsidR="006F5BC9" w:rsidRPr="00702E7F" w:rsidRDefault="006F5BC9" w:rsidP="006F5BC9">
      <w:pPr>
        <w:pStyle w:val="p4"/>
        <w:shd w:val="clear" w:color="auto" w:fill="FFFFFF"/>
        <w:spacing w:before="0" w:after="0"/>
        <w:jc w:val="both"/>
        <w:rPr>
          <w:rStyle w:val="s3"/>
          <w:sz w:val="28"/>
          <w:szCs w:val="28"/>
        </w:rPr>
      </w:pPr>
      <w:r>
        <w:rPr>
          <w:rStyle w:val="s3"/>
          <w:sz w:val="28"/>
          <w:szCs w:val="28"/>
        </w:rPr>
        <w:t xml:space="preserve">от «17» апреля </w:t>
      </w:r>
      <w:r w:rsidRPr="00702E7F">
        <w:rPr>
          <w:rStyle w:val="s3"/>
          <w:sz w:val="28"/>
          <w:szCs w:val="28"/>
        </w:rPr>
        <w:t xml:space="preserve"> 202</w:t>
      </w:r>
      <w:r w:rsidR="001E1944">
        <w:rPr>
          <w:rStyle w:val="s3"/>
          <w:sz w:val="28"/>
          <w:szCs w:val="28"/>
        </w:rPr>
        <w:t>5 г.</w:t>
      </w:r>
      <w:r>
        <w:rPr>
          <w:rStyle w:val="s3"/>
          <w:sz w:val="28"/>
          <w:szCs w:val="28"/>
        </w:rPr>
        <w:t xml:space="preserve"> №  329</w:t>
      </w:r>
    </w:p>
    <w:p w:rsidR="006F5BC9" w:rsidRPr="00702E7F" w:rsidRDefault="006F5BC9" w:rsidP="006F5BC9">
      <w:pPr>
        <w:pStyle w:val="p4"/>
        <w:shd w:val="clear" w:color="auto" w:fill="FFFFFF"/>
        <w:spacing w:before="0" w:after="0"/>
        <w:jc w:val="both"/>
        <w:rPr>
          <w:sz w:val="28"/>
          <w:szCs w:val="28"/>
        </w:rPr>
      </w:pPr>
      <w:r>
        <w:rPr>
          <w:sz w:val="28"/>
          <w:szCs w:val="28"/>
        </w:rPr>
        <w:t xml:space="preserve">            с. Лебединка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6F5BC9">
        <w:rPr>
          <w:rFonts w:eastAsia="Times New Roman"/>
          <w:b/>
          <w:bCs/>
          <w:iCs/>
          <w:kern w:val="28"/>
          <w:szCs w:val="28"/>
          <w:lang w:eastAsia="ru-RU"/>
        </w:rPr>
        <w:t>Первомайского</w:t>
      </w:r>
      <w:r w:rsidR="00F35CBD">
        <w:rPr>
          <w:rFonts w:eastAsia="Times New Roman"/>
          <w:b/>
          <w:bCs/>
          <w:iCs/>
          <w:kern w:val="28"/>
          <w:szCs w:val="28"/>
          <w:lang w:eastAsia="ru-RU"/>
        </w:rPr>
        <w:t xml:space="preserve">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E76BC3" w:rsidRDefault="0099362B" w:rsidP="00EE61B6">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6F5BC9">
        <w:rPr>
          <w:rFonts w:ascii="Times New Roman" w:hAnsi="Times New Roman"/>
          <w:sz w:val="28"/>
          <w:szCs w:val="28"/>
        </w:rPr>
        <w:t>Первомайского</w:t>
      </w:r>
      <w:r w:rsidR="00F35CBD">
        <w:rPr>
          <w:rFonts w:ascii="Times New Roman" w:hAnsi="Times New Roman"/>
          <w:sz w:val="28"/>
          <w:szCs w:val="28"/>
        </w:rPr>
        <w:t xml:space="preserve"> сельского поселения</w:t>
      </w:r>
      <w:r w:rsidR="000C0A00">
        <w:rPr>
          <w:rFonts w:ascii="Times New Roman" w:hAnsi="Times New Roman"/>
          <w:sz w:val="28"/>
          <w:szCs w:val="28"/>
        </w:rPr>
        <w:t xml:space="preserve">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w:t>
      </w:r>
      <w:r w:rsidR="000C0A00" w:rsidRPr="000C0A00">
        <w:rPr>
          <w:rFonts w:ascii="Times New Roman" w:hAnsi="Times New Roman"/>
          <w:sz w:val="28"/>
          <w:szCs w:val="28"/>
        </w:rPr>
        <w:t xml:space="preserve"> </w:t>
      </w:r>
      <w:r w:rsidR="000C0A00">
        <w:rPr>
          <w:rFonts w:ascii="Times New Roman" w:hAnsi="Times New Roman"/>
          <w:sz w:val="28"/>
          <w:szCs w:val="28"/>
        </w:rPr>
        <w:t>Богучарского муниципального района Воронежской области</w:t>
      </w:r>
      <w:r w:rsidR="00E76BC3">
        <w:rPr>
          <w:rFonts w:ascii="Times New Roman" w:hAnsi="Times New Roman"/>
          <w:sz w:val="28"/>
          <w:szCs w:val="28"/>
        </w:rPr>
        <w:t xml:space="preserve"> поселения </w:t>
      </w:r>
      <w:r w:rsidR="00E76BC3" w:rsidRPr="00E76BC3">
        <w:rPr>
          <w:rFonts w:ascii="Times New Roman" w:hAnsi="Times New Roman"/>
          <w:b/>
          <w:sz w:val="28"/>
          <w:szCs w:val="28"/>
        </w:rPr>
        <w:t>р е ш и л:</w:t>
      </w:r>
    </w:p>
    <w:p w:rsidR="0099362B" w:rsidRPr="00B868F4" w:rsidRDefault="0099362B" w:rsidP="00EE61B6">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 поселения Богучарского муниципального района Воронежской области далее</w:t>
      </w:r>
      <w:r w:rsidR="00F35CBD">
        <w:rPr>
          <w:rFonts w:ascii="Times New Roman" w:hAnsi="Times New Roman"/>
          <w:sz w:val="28"/>
          <w:szCs w:val="28"/>
        </w:rPr>
        <w:t xml:space="preserve"> </w:t>
      </w:r>
      <w:r w:rsidR="00E76BC3">
        <w:rPr>
          <w:rFonts w:ascii="Times New Roman" w:hAnsi="Times New Roman"/>
          <w:sz w:val="28"/>
          <w:szCs w:val="28"/>
        </w:rPr>
        <w:t>-</w:t>
      </w:r>
      <w:r w:rsidR="00F35CBD">
        <w:rPr>
          <w:rFonts w:ascii="Times New Roman" w:hAnsi="Times New Roman"/>
          <w:sz w:val="28"/>
          <w:szCs w:val="28"/>
        </w:rPr>
        <w:t xml:space="preserve"> </w:t>
      </w:r>
      <w:r w:rsidR="006F5BC9">
        <w:rPr>
          <w:rFonts w:ascii="Times New Roman" w:hAnsi="Times New Roman"/>
          <w:sz w:val="28"/>
          <w:szCs w:val="28"/>
        </w:rPr>
        <w:t>Первомайское</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Решение Совета народных депутатов</w:t>
      </w:r>
      <w:r w:rsidR="00F35CBD">
        <w:rPr>
          <w:rFonts w:ascii="Times New Roman" w:hAnsi="Times New Roman"/>
          <w:sz w:val="28"/>
          <w:szCs w:val="28"/>
        </w:rPr>
        <w:t xml:space="preserve">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от «</w:t>
      </w:r>
      <w:r w:rsidR="006F5BC9">
        <w:rPr>
          <w:rFonts w:ascii="Times New Roman" w:hAnsi="Times New Roman"/>
          <w:sz w:val="28"/>
          <w:szCs w:val="28"/>
        </w:rPr>
        <w:t>07</w:t>
      </w:r>
      <w:r w:rsidR="00E76BC3">
        <w:rPr>
          <w:rFonts w:ascii="Times New Roman" w:hAnsi="Times New Roman"/>
          <w:sz w:val="28"/>
          <w:szCs w:val="28"/>
        </w:rPr>
        <w:t>»</w:t>
      </w:r>
      <w:r w:rsidR="00BF5C8E">
        <w:rPr>
          <w:rFonts w:ascii="Times New Roman" w:hAnsi="Times New Roman"/>
          <w:sz w:val="28"/>
          <w:szCs w:val="28"/>
        </w:rPr>
        <w:t xml:space="preserve"> октября </w:t>
      </w:r>
      <w:r w:rsidR="00E76BC3">
        <w:rPr>
          <w:rFonts w:ascii="Times New Roman" w:hAnsi="Times New Roman"/>
          <w:sz w:val="28"/>
          <w:szCs w:val="28"/>
        </w:rPr>
        <w:t xml:space="preserve"> 20</w:t>
      </w:r>
      <w:r w:rsidR="00BF5C8E">
        <w:rPr>
          <w:rFonts w:ascii="Times New Roman" w:hAnsi="Times New Roman"/>
          <w:sz w:val="28"/>
          <w:szCs w:val="28"/>
        </w:rPr>
        <w:t xml:space="preserve">21 </w:t>
      </w:r>
      <w:r w:rsidR="00E76BC3">
        <w:rPr>
          <w:rFonts w:ascii="Times New Roman" w:hAnsi="Times New Roman"/>
          <w:sz w:val="28"/>
          <w:szCs w:val="28"/>
        </w:rPr>
        <w:t xml:space="preserve"> года </w:t>
      </w:r>
      <w:r w:rsidRPr="00B868F4">
        <w:rPr>
          <w:rFonts w:ascii="Times New Roman" w:hAnsi="Times New Roman"/>
          <w:sz w:val="28"/>
          <w:szCs w:val="28"/>
        </w:rPr>
        <w:t xml:space="preserve">№ </w:t>
      </w:r>
      <w:r w:rsidR="006F5BC9">
        <w:rPr>
          <w:rFonts w:ascii="Times New Roman" w:hAnsi="Times New Roman"/>
          <w:sz w:val="28"/>
          <w:szCs w:val="28"/>
        </w:rPr>
        <w:t>71</w:t>
      </w:r>
      <w:r w:rsidR="00BF5C8E">
        <w:rPr>
          <w:rFonts w:ascii="Times New Roman" w:hAnsi="Times New Roman"/>
          <w:sz w:val="28"/>
          <w:szCs w:val="28"/>
        </w:rPr>
        <w:t xml:space="preserve"> </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sidR="00E76BC3">
        <w:rPr>
          <w:rFonts w:ascii="Times New Roman" w:hAnsi="Times New Roman"/>
          <w:sz w:val="28"/>
          <w:szCs w:val="28"/>
        </w:rPr>
        <w:t xml:space="preserve"> </w:t>
      </w:r>
      <w:r w:rsidR="006F5BC9">
        <w:rPr>
          <w:rFonts w:ascii="Times New Roman" w:hAnsi="Times New Roman"/>
          <w:sz w:val="28"/>
          <w:szCs w:val="28"/>
        </w:rPr>
        <w:t>Первомайского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6F5BC9">
        <w:rPr>
          <w:rFonts w:ascii="Times New Roman" w:hAnsi="Times New Roman"/>
          <w:sz w:val="28"/>
          <w:szCs w:val="28"/>
        </w:rPr>
        <w:t>Первомайского</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6F5BC9">
        <w:rPr>
          <w:rFonts w:ascii="Times New Roman" w:hAnsi="Times New Roman"/>
          <w:sz w:val="28"/>
          <w:szCs w:val="28"/>
        </w:rPr>
        <w:t>Первомайского</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B868F4" w:rsidRPr="00B868F4" w:rsidTr="00D239E9">
        <w:tc>
          <w:tcPr>
            <w:tcW w:w="7621"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F35CBD" w:rsidRDefault="006F5BC9" w:rsidP="00F35CB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Первомайского</w:t>
            </w:r>
            <w:r w:rsidR="00F35CBD">
              <w:rPr>
                <w:rFonts w:ascii="Times New Roman" w:hAnsi="Times New Roman"/>
                <w:sz w:val="28"/>
                <w:szCs w:val="28"/>
              </w:rPr>
              <w:t xml:space="preserve"> </w:t>
            </w:r>
            <w:r w:rsidR="00D239E9">
              <w:rPr>
                <w:rFonts w:ascii="Times New Roman" w:hAnsi="Times New Roman"/>
                <w:sz w:val="28"/>
                <w:szCs w:val="28"/>
              </w:rPr>
              <w:t>сельского</w:t>
            </w:r>
          </w:p>
          <w:p w:rsidR="00EE61B6" w:rsidRPr="00B868F4" w:rsidRDefault="00D239E9" w:rsidP="006F5BC9">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поселения                             </w:t>
            </w:r>
            <w:r w:rsidR="00F35CBD">
              <w:rPr>
                <w:rFonts w:ascii="Times New Roman" w:hAnsi="Times New Roman"/>
                <w:sz w:val="28"/>
                <w:szCs w:val="28"/>
              </w:rPr>
              <w:t xml:space="preserve">                 </w:t>
            </w:r>
            <w:r>
              <w:rPr>
                <w:rFonts w:ascii="Times New Roman" w:hAnsi="Times New Roman"/>
                <w:sz w:val="28"/>
                <w:szCs w:val="28"/>
              </w:rPr>
              <w:t xml:space="preserve">     </w:t>
            </w:r>
            <w:r w:rsidR="006F5BC9">
              <w:rPr>
                <w:rFonts w:ascii="Times New Roman" w:hAnsi="Times New Roman"/>
                <w:sz w:val="28"/>
                <w:szCs w:val="28"/>
              </w:rPr>
              <w:t>А.А.Раковский</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0C0A00">
      <w:pPr>
        <w:ind w:firstLine="0"/>
        <w:rPr>
          <w:rFonts w:ascii="Times New Roman" w:hAnsi="Times New Roman"/>
          <w:sz w:val="28"/>
          <w:szCs w:val="28"/>
        </w:rPr>
      </w:pPr>
    </w:p>
    <w:p w:rsidR="000C0A00" w:rsidRDefault="000C0A00" w:rsidP="000C0A00">
      <w:pPr>
        <w:ind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6F5BC9">
        <w:rPr>
          <w:rFonts w:ascii="Times New Roman" w:hAnsi="Times New Roman"/>
          <w:sz w:val="28"/>
          <w:szCs w:val="28"/>
        </w:rPr>
        <w:t>Первомайского</w:t>
      </w:r>
      <w:r w:rsidR="00D239E9">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6F5BC9">
        <w:rPr>
          <w:rFonts w:ascii="Times New Roman" w:hAnsi="Times New Roman"/>
          <w:sz w:val="28"/>
          <w:szCs w:val="28"/>
        </w:rPr>
        <w:t>17</w:t>
      </w:r>
      <w:r w:rsidR="00661506">
        <w:rPr>
          <w:rFonts w:ascii="Times New Roman" w:hAnsi="Times New Roman"/>
          <w:sz w:val="28"/>
          <w:szCs w:val="28"/>
        </w:rPr>
        <w:t xml:space="preserve">.04.2025 </w:t>
      </w:r>
      <w:r w:rsidRPr="00B868F4">
        <w:rPr>
          <w:rFonts w:ascii="Times New Roman" w:hAnsi="Times New Roman"/>
          <w:sz w:val="28"/>
          <w:szCs w:val="28"/>
        </w:rPr>
        <w:t xml:space="preserve"> № </w:t>
      </w:r>
      <w:r w:rsidR="006F5BC9">
        <w:rPr>
          <w:rFonts w:ascii="Times New Roman" w:hAnsi="Times New Roman"/>
          <w:sz w:val="28"/>
          <w:szCs w:val="28"/>
        </w:rPr>
        <w:t>329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6F5BC9">
        <w:rPr>
          <w:rFonts w:ascii="Times New Roman" w:hAnsi="Times New Roman"/>
          <w:sz w:val="28"/>
          <w:szCs w:val="28"/>
        </w:rPr>
        <w:t>Первомайского</w:t>
      </w:r>
      <w:r w:rsidR="00F35CBD">
        <w:rPr>
          <w:rFonts w:ascii="Times New Roman" w:hAnsi="Times New Roman"/>
          <w:sz w:val="28"/>
          <w:szCs w:val="28"/>
        </w:rPr>
        <w:t xml:space="preserve"> сельского поселения</w:t>
      </w:r>
      <w:r w:rsidR="000C0A00" w:rsidRPr="000C0A00">
        <w:rPr>
          <w:rFonts w:ascii="Times New Roman" w:hAnsi="Times New Roman"/>
          <w:sz w:val="28"/>
          <w:szCs w:val="28"/>
        </w:rPr>
        <w:t xml:space="preserve"> </w:t>
      </w:r>
      <w:r w:rsidR="000C0A00">
        <w:rPr>
          <w:rFonts w:ascii="Times New Roman" w:hAnsi="Times New Roman"/>
          <w:sz w:val="28"/>
          <w:szCs w:val="28"/>
        </w:rPr>
        <w:t>Богучарского муниципального района Воронежской области</w:t>
      </w:r>
      <w:r w:rsidR="004C2E2C">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F5BC9">
        <w:rPr>
          <w:rFonts w:ascii="Times New Roman" w:hAnsi="Times New Roman" w:cs="Times New Roman"/>
          <w:sz w:val="28"/>
          <w:szCs w:val="28"/>
        </w:rPr>
        <w:t>Первомайского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6F5BC9">
        <w:rPr>
          <w:rFonts w:ascii="Times New Roman" w:hAnsi="Times New Roman" w:cs="Times New Roman"/>
          <w:sz w:val="28"/>
          <w:szCs w:val="28"/>
        </w:rPr>
        <w:t>Первомайского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6F5BC9">
        <w:rPr>
          <w:rFonts w:ascii="Times New Roman" w:hAnsi="Times New Roman"/>
          <w:sz w:val="28"/>
          <w:szCs w:val="28"/>
        </w:rPr>
        <w:t>Первомайского</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1F4849" w:rsidP="000F4BF3">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0F4BF3" w:rsidRDefault="000F4BF3" w:rsidP="005A38FC">
      <w:pPr>
        <w:autoSpaceDE w:val="0"/>
        <w:autoSpaceDN w:val="0"/>
        <w:adjustRightInd w:val="0"/>
        <w:rPr>
          <w:rFonts w:ascii="Times New Roman" w:eastAsiaTheme="minorHAnsi" w:hAnsi="Times New Roman"/>
          <w:sz w:val="28"/>
          <w:szCs w:val="28"/>
          <w:lang w:eastAsia="en-US"/>
        </w:rPr>
      </w:pP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6F5BC9">
        <w:rPr>
          <w:rFonts w:ascii="Times New Roman" w:hAnsi="Times New Roman"/>
          <w:sz w:val="28"/>
          <w:szCs w:val="28"/>
        </w:rPr>
        <w:t>Первомайского</w:t>
      </w:r>
      <w:r>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6F5BC9">
        <w:rPr>
          <w:rFonts w:ascii="Times New Roman" w:eastAsiaTheme="minorHAnsi" w:hAnsi="Times New Roman"/>
          <w:sz w:val="28"/>
          <w:szCs w:val="28"/>
          <w:lang w:eastAsia="en-US"/>
        </w:rPr>
        <w:t>Первомайского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6F5BC9">
        <w:rPr>
          <w:rFonts w:ascii="Times New Roman" w:hAnsi="Times New Roman"/>
          <w:sz w:val="28"/>
          <w:szCs w:val="28"/>
        </w:rPr>
        <w:t>Первомайского</w:t>
      </w:r>
      <w:r w:rsidR="00F35CBD">
        <w:rPr>
          <w:rFonts w:ascii="Times New Roman" w:hAnsi="Times New Roman"/>
          <w:sz w:val="28"/>
          <w:szCs w:val="28"/>
        </w:rPr>
        <w:t xml:space="preserve">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F5BC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916F19">
        <w:rPr>
          <w:rFonts w:ascii="Times New Roman" w:hAnsi="Times New Roman" w:cs="Times New Roman"/>
          <w:sz w:val="28"/>
          <w:szCs w:val="28"/>
        </w:rPr>
        <w:t xml:space="preserve"> 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F5BC9">
        <w:rPr>
          <w:rFonts w:ascii="Times New Roman" w:hAnsi="Times New Roman" w:cs="Times New Roman"/>
          <w:sz w:val="28"/>
          <w:szCs w:val="28"/>
        </w:rPr>
        <w:t>17</w:t>
      </w:r>
      <w:r>
        <w:rPr>
          <w:rFonts w:ascii="Times New Roman" w:hAnsi="Times New Roman" w:cs="Times New Roman"/>
          <w:sz w:val="28"/>
          <w:szCs w:val="28"/>
        </w:rPr>
        <w:t>»</w:t>
      </w:r>
      <w:r w:rsidR="006F5BC9">
        <w:rPr>
          <w:rFonts w:ascii="Times New Roman" w:hAnsi="Times New Roman" w:cs="Times New Roman"/>
          <w:sz w:val="28"/>
          <w:szCs w:val="28"/>
        </w:rPr>
        <w:t xml:space="preserve"> апреля 2025 года № 329</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F5BC9">
        <w:rPr>
          <w:rFonts w:ascii="Times New Roman" w:hAnsi="Times New Roman" w:cs="Times New Roman"/>
          <w:sz w:val="28"/>
          <w:szCs w:val="28"/>
        </w:rPr>
        <w:t>Первомайского</w:t>
      </w:r>
      <w:r w:rsidR="00F35CBD">
        <w:rPr>
          <w:rFonts w:ascii="Times New Roman" w:hAnsi="Times New Roman" w:cs="Times New Roman"/>
          <w:sz w:val="28"/>
          <w:szCs w:val="28"/>
        </w:rPr>
        <w:t xml:space="preserve"> сельского поселения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F5BC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F5BC9">
        <w:rPr>
          <w:rFonts w:ascii="Times New Roman" w:hAnsi="Times New Roman" w:cs="Times New Roman"/>
          <w:sz w:val="28"/>
          <w:szCs w:val="28"/>
        </w:rPr>
        <w:t>17</w:t>
      </w:r>
      <w:r>
        <w:rPr>
          <w:rFonts w:ascii="Times New Roman" w:hAnsi="Times New Roman" w:cs="Times New Roman"/>
          <w:sz w:val="28"/>
          <w:szCs w:val="28"/>
        </w:rPr>
        <w:t>»</w:t>
      </w:r>
      <w:r w:rsidR="00661506">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F5BC9">
        <w:rPr>
          <w:rFonts w:ascii="Times New Roman" w:hAnsi="Times New Roman" w:cs="Times New Roman"/>
          <w:sz w:val="28"/>
          <w:szCs w:val="28"/>
        </w:rPr>
        <w:t xml:space="preserve"> 329</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F5BC9">
        <w:rPr>
          <w:rFonts w:ascii="Times New Roman" w:hAnsi="Times New Roman" w:cs="Times New Roman"/>
          <w:sz w:val="28"/>
          <w:szCs w:val="28"/>
        </w:rPr>
        <w:t>Первомайского</w:t>
      </w:r>
      <w:r w:rsidR="00F35CBD">
        <w:rPr>
          <w:rFonts w:ascii="Times New Roman" w:hAnsi="Times New Roman" w:cs="Times New Roman"/>
          <w:sz w:val="28"/>
          <w:szCs w:val="28"/>
        </w:rPr>
        <w:t xml:space="preserve">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F5BC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F5BC9">
        <w:rPr>
          <w:rFonts w:ascii="Times New Roman" w:hAnsi="Times New Roman" w:cs="Times New Roman"/>
          <w:sz w:val="28"/>
          <w:szCs w:val="28"/>
        </w:rPr>
        <w:t>17</w:t>
      </w:r>
      <w:r>
        <w:rPr>
          <w:rFonts w:ascii="Times New Roman" w:hAnsi="Times New Roman" w:cs="Times New Roman"/>
          <w:sz w:val="28"/>
          <w:szCs w:val="28"/>
        </w:rPr>
        <w:t>»</w:t>
      </w:r>
      <w:r w:rsidR="006F5BC9">
        <w:rPr>
          <w:rFonts w:ascii="Times New Roman" w:hAnsi="Times New Roman" w:cs="Times New Roman"/>
          <w:sz w:val="28"/>
          <w:szCs w:val="28"/>
        </w:rPr>
        <w:t xml:space="preserve"> апреля 2025 года № 329</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6F5BC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F5BC9">
        <w:rPr>
          <w:rFonts w:ascii="Times New Roman" w:hAnsi="Times New Roman" w:cs="Times New Roman"/>
          <w:sz w:val="28"/>
          <w:szCs w:val="28"/>
        </w:rPr>
        <w:t>17</w:t>
      </w:r>
      <w:r>
        <w:rPr>
          <w:rFonts w:ascii="Times New Roman" w:hAnsi="Times New Roman" w:cs="Times New Roman"/>
          <w:sz w:val="28"/>
          <w:szCs w:val="28"/>
        </w:rPr>
        <w:t>»</w:t>
      </w:r>
      <w:r w:rsidR="006F5BC9">
        <w:rPr>
          <w:rFonts w:ascii="Times New Roman" w:hAnsi="Times New Roman" w:cs="Times New Roman"/>
          <w:sz w:val="28"/>
          <w:szCs w:val="28"/>
        </w:rPr>
        <w:t xml:space="preserve"> апреля 2025 года № 329</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3F" w:rsidRDefault="009D5F3F" w:rsidP="00D42074">
      <w:r>
        <w:separator/>
      </w:r>
    </w:p>
  </w:endnote>
  <w:endnote w:type="continuationSeparator" w:id="0">
    <w:p w:rsidR="009D5F3F" w:rsidRDefault="009D5F3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3F" w:rsidRDefault="009D5F3F" w:rsidP="00D42074">
      <w:r>
        <w:separator/>
      </w:r>
    </w:p>
  </w:footnote>
  <w:footnote w:type="continuationSeparator" w:id="0">
    <w:p w:rsidR="009D5F3F" w:rsidRDefault="009D5F3F" w:rsidP="00D42074">
      <w:r>
        <w:continuationSeparator/>
      </w:r>
    </w:p>
  </w:footnote>
  <w:footnote w:id="1">
    <w:p w:rsidR="000A629E" w:rsidRPr="00294DA5" w:rsidRDefault="000A629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0A629E" w:rsidRPr="008D6F12" w:rsidRDefault="000A629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0A629E" w:rsidRPr="00B36DEF" w:rsidRDefault="000A629E"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A629E" w:rsidRDefault="009C193E">
        <w:pPr>
          <w:pStyle w:val="a7"/>
          <w:jc w:val="center"/>
        </w:pPr>
        <w:fldSimple w:instr="PAGE   \* MERGEFORMAT">
          <w:r w:rsidR="00E5104D">
            <w:rPr>
              <w:noProof/>
            </w:rPr>
            <w:t>2</w:t>
          </w:r>
        </w:fldSimple>
      </w:p>
    </w:sdtContent>
  </w:sdt>
  <w:p w:rsidR="000A629E" w:rsidRDefault="000A62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87E2E"/>
    <w:rsid w:val="000A3BDF"/>
    <w:rsid w:val="000A629E"/>
    <w:rsid w:val="000B2AE8"/>
    <w:rsid w:val="000B6031"/>
    <w:rsid w:val="000C0A00"/>
    <w:rsid w:val="000D3C12"/>
    <w:rsid w:val="000D6106"/>
    <w:rsid w:val="000F2AD6"/>
    <w:rsid w:val="000F4BF3"/>
    <w:rsid w:val="001053BF"/>
    <w:rsid w:val="0010779A"/>
    <w:rsid w:val="001116DD"/>
    <w:rsid w:val="00152CE2"/>
    <w:rsid w:val="00153824"/>
    <w:rsid w:val="001B6D94"/>
    <w:rsid w:val="001B6E70"/>
    <w:rsid w:val="001C1648"/>
    <w:rsid w:val="001E1944"/>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3E647D"/>
    <w:rsid w:val="0040322F"/>
    <w:rsid w:val="00443D34"/>
    <w:rsid w:val="004574BE"/>
    <w:rsid w:val="004A2E84"/>
    <w:rsid w:val="004B0C4F"/>
    <w:rsid w:val="004C2E2C"/>
    <w:rsid w:val="004D7E0A"/>
    <w:rsid w:val="004F6BE8"/>
    <w:rsid w:val="0055497A"/>
    <w:rsid w:val="005A1E05"/>
    <w:rsid w:val="005A38FC"/>
    <w:rsid w:val="005B2535"/>
    <w:rsid w:val="005E20EC"/>
    <w:rsid w:val="005E2597"/>
    <w:rsid w:val="005F734D"/>
    <w:rsid w:val="00627041"/>
    <w:rsid w:val="00644008"/>
    <w:rsid w:val="00661506"/>
    <w:rsid w:val="00666433"/>
    <w:rsid w:val="00670082"/>
    <w:rsid w:val="00691B8A"/>
    <w:rsid w:val="006A4713"/>
    <w:rsid w:val="006C02FE"/>
    <w:rsid w:val="006D5AF2"/>
    <w:rsid w:val="006F5BC9"/>
    <w:rsid w:val="007415AD"/>
    <w:rsid w:val="007631DC"/>
    <w:rsid w:val="007934E1"/>
    <w:rsid w:val="00795B1C"/>
    <w:rsid w:val="007A56A1"/>
    <w:rsid w:val="007C7DC7"/>
    <w:rsid w:val="007E1E0C"/>
    <w:rsid w:val="007F2029"/>
    <w:rsid w:val="007F3137"/>
    <w:rsid w:val="00817FEC"/>
    <w:rsid w:val="00826D28"/>
    <w:rsid w:val="00826DBE"/>
    <w:rsid w:val="00830935"/>
    <w:rsid w:val="0084486F"/>
    <w:rsid w:val="008528A2"/>
    <w:rsid w:val="008603D8"/>
    <w:rsid w:val="00872AF5"/>
    <w:rsid w:val="00883275"/>
    <w:rsid w:val="008A0A82"/>
    <w:rsid w:val="008A3A72"/>
    <w:rsid w:val="008D6F12"/>
    <w:rsid w:val="0090047B"/>
    <w:rsid w:val="009064AF"/>
    <w:rsid w:val="00916F19"/>
    <w:rsid w:val="009449FF"/>
    <w:rsid w:val="00946F3B"/>
    <w:rsid w:val="00970DA3"/>
    <w:rsid w:val="0097352C"/>
    <w:rsid w:val="00975326"/>
    <w:rsid w:val="009827AC"/>
    <w:rsid w:val="00992FD6"/>
    <w:rsid w:val="0099362B"/>
    <w:rsid w:val="009B5AA0"/>
    <w:rsid w:val="009C193E"/>
    <w:rsid w:val="009D3EFE"/>
    <w:rsid w:val="009D5F3F"/>
    <w:rsid w:val="009E06AC"/>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BF5C8E"/>
    <w:rsid w:val="00C019F5"/>
    <w:rsid w:val="00C052AF"/>
    <w:rsid w:val="00C453F7"/>
    <w:rsid w:val="00C46970"/>
    <w:rsid w:val="00C9180D"/>
    <w:rsid w:val="00CA7BEA"/>
    <w:rsid w:val="00CC1D01"/>
    <w:rsid w:val="00CD3CF2"/>
    <w:rsid w:val="00D005BA"/>
    <w:rsid w:val="00D03CF5"/>
    <w:rsid w:val="00D239E9"/>
    <w:rsid w:val="00D23FEB"/>
    <w:rsid w:val="00D2413D"/>
    <w:rsid w:val="00D42074"/>
    <w:rsid w:val="00DC58E8"/>
    <w:rsid w:val="00DD76A1"/>
    <w:rsid w:val="00DF0E0A"/>
    <w:rsid w:val="00E02B25"/>
    <w:rsid w:val="00E10DE8"/>
    <w:rsid w:val="00E5104D"/>
    <w:rsid w:val="00E54306"/>
    <w:rsid w:val="00E76BC3"/>
    <w:rsid w:val="00E86D1A"/>
    <w:rsid w:val="00EA5679"/>
    <w:rsid w:val="00EE61B6"/>
    <w:rsid w:val="00F207C1"/>
    <w:rsid w:val="00F22715"/>
    <w:rsid w:val="00F26B3B"/>
    <w:rsid w:val="00F270C1"/>
    <w:rsid w:val="00F35CBD"/>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p4">
    <w:name w:val="p4"/>
    <w:basedOn w:val="a"/>
    <w:rsid w:val="006F5BC9"/>
    <w:pPr>
      <w:suppressAutoHyphens/>
      <w:autoSpaceDN w:val="0"/>
      <w:spacing w:before="280" w:after="280"/>
      <w:ind w:firstLine="0"/>
      <w:jc w:val="left"/>
      <w:textAlignment w:val="baseline"/>
    </w:pPr>
    <w:rPr>
      <w:rFonts w:ascii="Times New Roman" w:hAnsi="Times New Roman"/>
      <w:kern w:val="3"/>
      <w:lang w:eastAsia="zh-CN"/>
    </w:rPr>
  </w:style>
  <w:style w:type="character" w:customStyle="1" w:styleId="s3">
    <w:name w:val="s3"/>
    <w:basedOn w:val="a0"/>
    <w:rsid w:val="006F5BC9"/>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1F2B-6ADC-4DE7-82A2-05B28CE7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28</Pages>
  <Words>9918</Words>
  <Characters>56537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25</cp:revision>
  <cp:lastPrinted>2025-04-17T07:06:00Z</cp:lastPrinted>
  <dcterms:created xsi:type="dcterms:W3CDTF">2025-04-10T05:30:00Z</dcterms:created>
  <dcterms:modified xsi:type="dcterms:W3CDTF">2025-04-17T11:39:00Z</dcterms:modified>
</cp:coreProperties>
</file>